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403" w:rsidRDefault="009738F4">
      <w:pPr>
        <w:pStyle w:val="a8"/>
        <w:spacing w:before="100" w:after="100"/>
        <w:ind w:firstLineChars="0" w:firstLine="0"/>
        <w:jc w:val="center"/>
        <w:rPr>
          <w:rFonts w:ascii="宋体" w:hAnsi="宋体" w:cs="宋体"/>
          <w:b/>
          <w:sz w:val="30"/>
          <w:szCs w:val="30"/>
        </w:rPr>
      </w:pPr>
      <w:r>
        <w:rPr>
          <w:rFonts w:ascii="宋体" w:hAnsi="宋体" w:cs="宋体" w:hint="eastAsia"/>
          <w:b/>
          <w:sz w:val="30"/>
          <w:szCs w:val="30"/>
        </w:rPr>
        <w:t>康复大学青岛</w:t>
      </w:r>
      <w:r w:rsidR="00C568B8">
        <w:rPr>
          <w:rFonts w:ascii="宋体" w:hAnsi="宋体" w:cs="宋体" w:hint="eastAsia"/>
          <w:b/>
          <w:sz w:val="30"/>
          <w:szCs w:val="30"/>
        </w:rPr>
        <w:t>中心医院临床试验</w:t>
      </w:r>
    </w:p>
    <w:p w:rsidR="00240403" w:rsidRDefault="00C568B8">
      <w:pPr>
        <w:pStyle w:val="a8"/>
        <w:spacing w:before="100" w:after="100"/>
        <w:ind w:firstLineChars="0" w:firstLine="0"/>
        <w:jc w:val="center"/>
        <w:rPr>
          <w:rFonts w:ascii="宋体" w:hAnsi="宋体" w:cs="宋体"/>
          <w:b/>
          <w:sz w:val="30"/>
          <w:szCs w:val="30"/>
        </w:rPr>
      </w:pPr>
      <w:r>
        <w:rPr>
          <w:rFonts w:ascii="宋体" w:hAnsi="宋体" w:cs="宋体" w:hint="eastAsia"/>
          <w:b/>
          <w:sz w:val="30"/>
          <w:szCs w:val="30"/>
        </w:rPr>
        <w:t>安全性报告工作指引</w:t>
      </w:r>
    </w:p>
    <w:p w:rsidR="00240403" w:rsidRDefault="00C568B8">
      <w:pPr>
        <w:pStyle w:val="a8"/>
        <w:spacing w:before="100" w:after="100"/>
        <w:ind w:firstLineChars="0" w:firstLine="0"/>
        <w:jc w:val="center"/>
        <w:rPr>
          <w:rFonts w:ascii="宋体" w:hAnsi="宋体" w:cs="宋体"/>
          <w:b/>
          <w:sz w:val="30"/>
          <w:szCs w:val="30"/>
        </w:rPr>
      </w:pPr>
      <w:r>
        <w:rPr>
          <w:rFonts w:ascii="宋体" w:hAnsi="宋体" w:cs="宋体" w:hint="eastAsia"/>
          <w:b/>
          <w:sz w:val="24"/>
          <w:szCs w:val="24"/>
        </w:rPr>
        <w:t>（</w:t>
      </w:r>
      <w:r w:rsidR="009738F4">
        <w:rPr>
          <w:rFonts w:ascii="宋体" w:hAnsi="宋体" w:cs="宋体" w:hint="eastAsia"/>
          <w:b/>
          <w:sz w:val="24"/>
          <w:szCs w:val="24"/>
        </w:rPr>
        <w:t>5</w:t>
      </w:r>
      <w:r>
        <w:rPr>
          <w:rFonts w:ascii="宋体" w:hAnsi="宋体" w:cs="宋体" w:hint="eastAsia"/>
          <w:b/>
          <w:sz w:val="24"/>
          <w:szCs w:val="24"/>
        </w:rPr>
        <w:t>.0</w:t>
      </w:r>
      <w:r>
        <w:rPr>
          <w:rFonts w:ascii="宋体" w:hAnsi="宋体" w:cs="宋体" w:hint="eastAsia"/>
          <w:b/>
          <w:sz w:val="24"/>
          <w:szCs w:val="24"/>
        </w:rPr>
        <w:t>、</w:t>
      </w:r>
      <w:r>
        <w:rPr>
          <w:rFonts w:ascii="宋体" w:hAnsi="宋体" w:cs="宋体" w:hint="eastAsia"/>
          <w:b/>
          <w:sz w:val="24"/>
          <w:szCs w:val="24"/>
        </w:rPr>
        <w:t>202</w:t>
      </w:r>
      <w:r w:rsidR="009738F4">
        <w:rPr>
          <w:rFonts w:ascii="宋体" w:hAnsi="宋体" w:cs="宋体" w:hint="eastAsia"/>
          <w:b/>
          <w:sz w:val="24"/>
          <w:szCs w:val="24"/>
        </w:rPr>
        <w:t>4</w:t>
      </w:r>
      <w:r>
        <w:rPr>
          <w:rFonts w:ascii="宋体" w:hAnsi="宋体" w:cs="宋体" w:hint="eastAsia"/>
          <w:b/>
          <w:sz w:val="24"/>
          <w:szCs w:val="24"/>
        </w:rPr>
        <w:t>.</w:t>
      </w:r>
      <w:r w:rsidR="009738F4">
        <w:rPr>
          <w:rFonts w:ascii="宋体" w:hAnsi="宋体" w:cs="宋体" w:hint="eastAsia"/>
          <w:b/>
          <w:sz w:val="24"/>
          <w:szCs w:val="24"/>
        </w:rPr>
        <w:t>10</w:t>
      </w:r>
      <w:r>
        <w:rPr>
          <w:rFonts w:ascii="宋体" w:hAnsi="宋体" w:cs="宋体" w:hint="eastAsia"/>
          <w:b/>
          <w:sz w:val="24"/>
          <w:szCs w:val="24"/>
        </w:rPr>
        <w:t>.</w:t>
      </w:r>
      <w:r w:rsidR="009738F4">
        <w:rPr>
          <w:rFonts w:ascii="宋体" w:hAnsi="宋体" w:cs="宋体" w:hint="eastAsia"/>
          <w:b/>
          <w:sz w:val="24"/>
          <w:szCs w:val="24"/>
        </w:rPr>
        <w:t>16</w:t>
      </w:r>
      <w:r>
        <w:rPr>
          <w:rFonts w:ascii="宋体" w:hAnsi="宋体" w:cs="宋体" w:hint="eastAsia"/>
          <w:b/>
          <w:sz w:val="24"/>
          <w:szCs w:val="24"/>
        </w:rPr>
        <w:t>）</w:t>
      </w:r>
    </w:p>
    <w:p w:rsidR="00240403" w:rsidRDefault="00C568B8">
      <w:pPr>
        <w:snapToGrid w:val="0"/>
        <w:spacing w:line="360" w:lineRule="auto"/>
        <w:rPr>
          <w:rFonts w:ascii="宋体" w:hAnsi="宋体" w:cs="宋体"/>
          <w:sz w:val="24"/>
          <w:szCs w:val="24"/>
        </w:rPr>
      </w:pPr>
      <w:r>
        <w:rPr>
          <w:rFonts w:ascii="宋体" w:hAnsi="宋体" w:cs="宋体" w:hint="eastAsia"/>
          <w:b/>
          <w:bCs/>
          <w:sz w:val="24"/>
          <w:szCs w:val="24"/>
        </w:rPr>
        <w:t>Ⅰ</w:t>
      </w:r>
      <w:r>
        <w:rPr>
          <w:rFonts w:ascii="宋体" w:hAnsi="宋体" w:cs="宋体" w:hint="eastAsia"/>
          <w:b/>
          <w:bCs/>
          <w:sz w:val="24"/>
          <w:szCs w:val="24"/>
        </w:rPr>
        <w:t xml:space="preserve"> </w:t>
      </w:r>
      <w:r>
        <w:rPr>
          <w:rFonts w:ascii="宋体" w:hAnsi="宋体" w:cs="宋体" w:hint="eastAsia"/>
          <w:b/>
          <w:bCs/>
          <w:sz w:val="24"/>
          <w:szCs w:val="24"/>
        </w:rPr>
        <w:t>目的：</w:t>
      </w:r>
      <w:r>
        <w:rPr>
          <w:rFonts w:ascii="宋体" w:hAnsi="宋体" w:cs="宋体" w:hint="eastAsia"/>
          <w:sz w:val="24"/>
          <w:szCs w:val="24"/>
        </w:rPr>
        <w:t>针对在我院开展的药物</w:t>
      </w:r>
      <w:r>
        <w:rPr>
          <w:rFonts w:ascii="宋体" w:hAnsi="宋体" w:cs="宋体" w:hint="eastAsia"/>
          <w:sz w:val="24"/>
          <w:szCs w:val="24"/>
        </w:rPr>
        <w:t>/</w:t>
      </w:r>
      <w:r>
        <w:rPr>
          <w:rFonts w:ascii="宋体" w:hAnsi="宋体" w:cs="宋体" w:hint="eastAsia"/>
          <w:sz w:val="24"/>
          <w:szCs w:val="24"/>
        </w:rPr>
        <w:t>医疗器械临床试验项目，建立临床试验安全性报告工作指引，以确保流程规范、畅通。</w:t>
      </w:r>
    </w:p>
    <w:p w:rsidR="00240403" w:rsidRDefault="00C568B8">
      <w:pPr>
        <w:snapToGrid w:val="0"/>
        <w:spacing w:line="360" w:lineRule="auto"/>
        <w:rPr>
          <w:rFonts w:ascii="宋体" w:hAnsi="宋体" w:cs="宋体"/>
          <w:b/>
          <w:bCs/>
          <w:sz w:val="24"/>
          <w:szCs w:val="24"/>
        </w:rPr>
      </w:pPr>
      <w:r>
        <w:rPr>
          <w:rFonts w:ascii="宋体" w:hAnsi="宋体" w:cs="宋体" w:hint="eastAsia"/>
          <w:b/>
          <w:bCs/>
          <w:sz w:val="24"/>
          <w:szCs w:val="24"/>
        </w:rPr>
        <w:t>Ⅱ</w:t>
      </w:r>
      <w:r>
        <w:rPr>
          <w:rFonts w:ascii="宋体" w:hAnsi="宋体" w:cs="宋体" w:hint="eastAsia"/>
          <w:b/>
          <w:bCs/>
          <w:sz w:val="24"/>
          <w:szCs w:val="24"/>
        </w:rPr>
        <w:t xml:space="preserve"> </w:t>
      </w:r>
      <w:r>
        <w:rPr>
          <w:rFonts w:ascii="宋体" w:hAnsi="宋体" w:cs="宋体" w:hint="eastAsia"/>
          <w:b/>
          <w:bCs/>
          <w:sz w:val="24"/>
          <w:szCs w:val="24"/>
        </w:rPr>
        <w:t>范围：</w:t>
      </w:r>
    </w:p>
    <w:p w:rsidR="00240403" w:rsidRDefault="00C568B8">
      <w:pPr>
        <w:snapToGrid w:val="0"/>
        <w:spacing w:line="360" w:lineRule="auto"/>
        <w:rPr>
          <w:rFonts w:ascii="宋体" w:hAnsi="宋体" w:cs="宋体"/>
          <w:b/>
          <w:bCs/>
          <w:sz w:val="24"/>
          <w:szCs w:val="24"/>
        </w:rPr>
      </w:pPr>
      <w:r>
        <w:rPr>
          <w:rFonts w:ascii="宋体" w:hAnsi="宋体" w:cs="宋体" w:hint="eastAsia"/>
          <w:b/>
          <w:bCs/>
          <w:sz w:val="24"/>
          <w:szCs w:val="24"/>
        </w:rPr>
        <w:t>一、药物临床试验相关定义：</w:t>
      </w:r>
    </w:p>
    <w:p w:rsidR="00240403" w:rsidRDefault="00C568B8">
      <w:pPr>
        <w:numPr>
          <w:ilvl w:val="0"/>
          <w:numId w:val="1"/>
        </w:numPr>
        <w:spacing w:line="540" w:lineRule="exact"/>
        <w:rPr>
          <w:rFonts w:ascii="宋体" w:hAnsi="宋体" w:cs="宋体"/>
          <w:sz w:val="24"/>
          <w:szCs w:val="24"/>
        </w:rPr>
      </w:pPr>
      <w:r>
        <w:rPr>
          <w:rFonts w:ascii="宋体" w:hAnsi="宋体" w:cs="宋体" w:hint="eastAsia"/>
          <w:sz w:val="24"/>
          <w:szCs w:val="24"/>
        </w:rPr>
        <w:t>不良事件（</w:t>
      </w:r>
      <w:r>
        <w:rPr>
          <w:rFonts w:ascii="宋体" w:hAnsi="宋体" w:cs="宋体" w:hint="eastAsia"/>
          <w:sz w:val="24"/>
          <w:szCs w:val="24"/>
        </w:rPr>
        <w:t>Adverse Event ,AE</w:t>
      </w:r>
      <w:r>
        <w:rPr>
          <w:rFonts w:ascii="宋体" w:hAnsi="宋体" w:cs="宋体" w:hint="eastAsia"/>
          <w:sz w:val="24"/>
          <w:szCs w:val="24"/>
        </w:rPr>
        <w:t>），指受试者接受试验用药品后出现的所有不良医学事件，可以表现为症状体征、疾病或者实验室检查异常，但不一定与试验用药品有因果关系。</w:t>
      </w:r>
    </w:p>
    <w:p w:rsidR="00240403" w:rsidRDefault="00C568B8">
      <w:pPr>
        <w:numPr>
          <w:ilvl w:val="0"/>
          <w:numId w:val="1"/>
        </w:numPr>
        <w:spacing w:line="540" w:lineRule="exact"/>
        <w:rPr>
          <w:rFonts w:ascii="宋体" w:hAnsi="宋体" w:cs="宋体"/>
          <w:sz w:val="24"/>
          <w:szCs w:val="24"/>
        </w:rPr>
      </w:pPr>
      <w:r>
        <w:rPr>
          <w:rFonts w:ascii="宋体" w:hAnsi="宋体" w:cs="宋体" w:hint="eastAsia"/>
          <w:sz w:val="24"/>
          <w:szCs w:val="24"/>
        </w:rPr>
        <w:t>药物不良反应（</w:t>
      </w:r>
      <w:r>
        <w:rPr>
          <w:rFonts w:ascii="宋体" w:hAnsi="宋体" w:cs="宋体" w:hint="eastAsia"/>
          <w:sz w:val="24"/>
          <w:szCs w:val="24"/>
        </w:rPr>
        <w:t xml:space="preserve">Adverse drug </w:t>
      </w:r>
      <w:r>
        <w:rPr>
          <w:rFonts w:ascii="宋体" w:hAnsi="宋体" w:cs="宋体" w:hint="eastAsia"/>
          <w:sz w:val="24"/>
          <w:szCs w:val="24"/>
        </w:rPr>
        <w:t>reactions</w:t>
      </w:r>
      <w:r>
        <w:rPr>
          <w:rFonts w:ascii="宋体" w:hAnsi="宋体" w:cs="宋体" w:hint="eastAsia"/>
          <w:sz w:val="24"/>
          <w:szCs w:val="24"/>
        </w:rPr>
        <w:t>，</w:t>
      </w:r>
      <w:r>
        <w:rPr>
          <w:rFonts w:ascii="宋体" w:hAnsi="宋体" w:cs="宋体" w:hint="eastAsia"/>
          <w:sz w:val="24"/>
          <w:szCs w:val="24"/>
        </w:rPr>
        <w:t>ADR</w:t>
      </w:r>
      <w:r>
        <w:rPr>
          <w:rFonts w:ascii="宋体" w:hAnsi="宋体" w:cs="宋体" w:hint="eastAsia"/>
          <w:sz w:val="24"/>
          <w:szCs w:val="24"/>
        </w:rPr>
        <w:t>）指临床试验中发生的任何与试验用药品可能有关的对人体有害或者非期望的反应。试验用药品与不良事件之间的因果关系至少有一个合理的可能性，即不能排除相关性。</w:t>
      </w:r>
    </w:p>
    <w:p w:rsidR="00240403" w:rsidRDefault="00C568B8">
      <w:pPr>
        <w:numPr>
          <w:ilvl w:val="0"/>
          <w:numId w:val="1"/>
        </w:numPr>
        <w:spacing w:line="540" w:lineRule="exact"/>
        <w:rPr>
          <w:rFonts w:ascii="宋体" w:hAnsi="宋体" w:cs="宋体"/>
          <w:sz w:val="24"/>
          <w:szCs w:val="24"/>
        </w:rPr>
      </w:pPr>
      <w:r>
        <w:rPr>
          <w:rFonts w:ascii="宋体" w:hAnsi="宋体" w:cs="宋体" w:hint="eastAsia"/>
          <w:sz w:val="24"/>
          <w:szCs w:val="24"/>
        </w:rPr>
        <w:t>严重不良事件（</w:t>
      </w:r>
      <w:r>
        <w:rPr>
          <w:rFonts w:ascii="宋体" w:hAnsi="宋体" w:cs="宋体" w:hint="eastAsia"/>
          <w:sz w:val="24"/>
          <w:szCs w:val="24"/>
        </w:rPr>
        <w:t>Serious Adverse Events ,SAE</w:t>
      </w:r>
      <w:r>
        <w:rPr>
          <w:rFonts w:ascii="宋体" w:hAnsi="宋体" w:cs="宋体" w:hint="eastAsia"/>
          <w:sz w:val="24"/>
          <w:szCs w:val="24"/>
        </w:rPr>
        <w:t>），指受试者接受试验用药品后出现死亡、危及生命、永久或者严重的残疾或者功能丧失、受试者需要住院治疗或者延长住院时间，以及先天性异常或者出生缺陷等不良医学事件。</w:t>
      </w:r>
    </w:p>
    <w:p w:rsidR="00240403" w:rsidRDefault="00C568B8">
      <w:pPr>
        <w:numPr>
          <w:ilvl w:val="0"/>
          <w:numId w:val="1"/>
        </w:numPr>
        <w:spacing w:line="540" w:lineRule="exact"/>
        <w:rPr>
          <w:rFonts w:ascii="宋体" w:hAnsi="宋体" w:cs="宋体"/>
          <w:sz w:val="24"/>
          <w:szCs w:val="24"/>
        </w:rPr>
      </w:pPr>
      <w:r>
        <w:rPr>
          <w:rFonts w:ascii="宋体" w:hAnsi="宋体" w:cs="宋体" w:hint="eastAsia"/>
          <w:sz w:val="24"/>
          <w:szCs w:val="24"/>
        </w:rPr>
        <w:t>可疑且非预期严重不良反应（</w:t>
      </w:r>
      <w:r>
        <w:rPr>
          <w:rFonts w:ascii="宋体" w:hAnsi="宋体" w:cs="宋体" w:hint="eastAsia"/>
          <w:sz w:val="24"/>
          <w:szCs w:val="24"/>
        </w:rPr>
        <w:t>Suspicious and unexpected serious advers</w:t>
      </w:r>
      <w:r>
        <w:rPr>
          <w:rFonts w:ascii="宋体" w:hAnsi="宋体" w:cs="宋体" w:hint="eastAsia"/>
          <w:sz w:val="24"/>
          <w:szCs w:val="24"/>
        </w:rPr>
        <w:t>e reactions</w:t>
      </w:r>
      <w:r>
        <w:rPr>
          <w:rFonts w:ascii="宋体" w:hAnsi="宋体" w:cs="宋体" w:hint="eastAsia"/>
          <w:sz w:val="24"/>
          <w:szCs w:val="24"/>
        </w:rPr>
        <w:t>，</w:t>
      </w:r>
      <w:r>
        <w:rPr>
          <w:rFonts w:ascii="宋体" w:hAnsi="宋体" w:cs="宋体" w:hint="eastAsia"/>
          <w:sz w:val="24"/>
          <w:szCs w:val="24"/>
        </w:rPr>
        <w:t xml:space="preserve">SUSAR </w:t>
      </w:r>
      <w:r>
        <w:rPr>
          <w:rFonts w:ascii="宋体" w:hAnsi="宋体" w:cs="宋体" w:hint="eastAsia"/>
          <w:sz w:val="24"/>
          <w:szCs w:val="24"/>
        </w:rPr>
        <w:t>），指临床表现的性质和严重程度超出了试验药物研究者手册、已上市药品的说明书或者产品特性摘要等已有资料信息的可疑并且非预期的严重不良反应。</w:t>
      </w:r>
    </w:p>
    <w:p w:rsidR="00240403" w:rsidRDefault="00C568B8">
      <w:pPr>
        <w:spacing w:line="540" w:lineRule="exact"/>
        <w:rPr>
          <w:rFonts w:ascii="宋体" w:hAnsi="宋体" w:cs="宋体"/>
          <w:b/>
          <w:bCs/>
          <w:sz w:val="24"/>
          <w:szCs w:val="24"/>
        </w:rPr>
      </w:pPr>
      <w:r>
        <w:rPr>
          <w:rFonts w:ascii="宋体" w:hAnsi="宋体" w:cs="宋体" w:hint="eastAsia"/>
          <w:b/>
          <w:bCs/>
          <w:sz w:val="24"/>
          <w:szCs w:val="24"/>
        </w:rPr>
        <w:t>二、医疗器械临床试验相关定义：</w:t>
      </w:r>
    </w:p>
    <w:p w:rsidR="00240403" w:rsidRDefault="00C568B8">
      <w:pPr>
        <w:numPr>
          <w:ilvl w:val="0"/>
          <w:numId w:val="2"/>
        </w:numPr>
        <w:spacing w:line="540" w:lineRule="exact"/>
        <w:rPr>
          <w:rFonts w:ascii="宋体" w:hAnsi="宋体" w:cs="宋体"/>
          <w:sz w:val="24"/>
          <w:szCs w:val="24"/>
        </w:rPr>
      </w:pPr>
      <w:r>
        <w:rPr>
          <w:rFonts w:ascii="宋体" w:hAnsi="宋体" w:cs="宋体"/>
          <w:sz w:val="24"/>
          <w:szCs w:val="24"/>
        </w:rPr>
        <w:t>不良事件</w:t>
      </w:r>
      <w:r>
        <w:rPr>
          <w:rFonts w:ascii="宋体" w:hAnsi="宋体" w:cs="宋体" w:hint="eastAsia"/>
          <w:sz w:val="24"/>
          <w:szCs w:val="24"/>
        </w:rPr>
        <w:t>（</w:t>
      </w:r>
      <w:r>
        <w:rPr>
          <w:rFonts w:ascii="宋体" w:hAnsi="宋体" w:cs="宋体" w:hint="eastAsia"/>
          <w:sz w:val="24"/>
          <w:szCs w:val="24"/>
        </w:rPr>
        <w:t>Adverse Event ,AE</w:t>
      </w:r>
      <w:r>
        <w:rPr>
          <w:rFonts w:ascii="宋体" w:hAnsi="宋体" w:cs="宋体" w:hint="eastAsia"/>
          <w:sz w:val="24"/>
          <w:szCs w:val="24"/>
        </w:rPr>
        <w:t>）</w:t>
      </w:r>
      <w:r>
        <w:rPr>
          <w:rFonts w:ascii="宋体" w:hAnsi="宋体" w:cs="宋体"/>
          <w:sz w:val="24"/>
          <w:szCs w:val="24"/>
        </w:rPr>
        <w:t>，</w:t>
      </w:r>
      <w:r>
        <w:rPr>
          <w:rFonts w:ascii="宋体" w:hAnsi="宋体" w:cs="宋体" w:hint="eastAsia"/>
          <w:sz w:val="24"/>
          <w:szCs w:val="24"/>
        </w:rPr>
        <w:t>是指在医疗器械临床试验过程中出现的不良医学事件，无论是否与试验医疗器械相关</w:t>
      </w:r>
      <w:r>
        <w:rPr>
          <w:rFonts w:ascii="宋体" w:hAnsi="宋体" w:cs="宋体"/>
          <w:sz w:val="24"/>
          <w:szCs w:val="24"/>
        </w:rPr>
        <w:t>。</w:t>
      </w:r>
    </w:p>
    <w:p w:rsidR="00240403" w:rsidRDefault="00C568B8">
      <w:pPr>
        <w:numPr>
          <w:ilvl w:val="0"/>
          <w:numId w:val="2"/>
        </w:numPr>
        <w:spacing w:line="540" w:lineRule="exact"/>
        <w:rPr>
          <w:rFonts w:ascii="宋体" w:hAnsi="宋体" w:cs="宋体"/>
          <w:sz w:val="24"/>
          <w:szCs w:val="24"/>
        </w:rPr>
      </w:pPr>
      <w:r>
        <w:rPr>
          <w:rFonts w:ascii="宋体" w:hAnsi="宋体" w:cs="宋体"/>
          <w:sz w:val="24"/>
          <w:szCs w:val="24"/>
        </w:rPr>
        <w:t>严重不良事件</w:t>
      </w:r>
      <w:r>
        <w:rPr>
          <w:rFonts w:ascii="宋体" w:hAnsi="宋体" w:cs="宋体" w:hint="eastAsia"/>
          <w:sz w:val="24"/>
          <w:szCs w:val="24"/>
        </w:rPr>
        <w:t>（</w:t>
      </w:r>
      <w:r>
        <w:rPr>
          <w:rFonts w:ascii="宋体" w:hAnsi="宋体" w:cs="宋体" w:hint="eastAsia"/>
          <w:sz w:val="24"/>
          <w:szCs w:val="24"/>
        </w:rPr>
        <w:t>Serious Adverse Events ,SAE</w:t>
      </w:r>
      <w:r>
        <w:rPr>
          <w:rFonts w:ascii="宋体" w:hAnsi="宋体" w:cs="宋体" w:hint="eastAsia"/>
          <w:sz w:val="24"/>
          <w:szCs w:val="24"/>
        </w:rPr>
        <w:t>）</w:t>
      </w:r>
      <w:r>
        <w:rPr>
          <w:rFonts w:ascii="宋体" w:hAnsi="宋体" w:cs="宋体"/>
          <w:sz w:val="24"/>
          <w:szCs w:val="24"/>
        </w:rPr>
        <w:t>，</w:t>
      </w:r>
      <w:r>
        <w:rPr>
          <w:rFonts w:ascii="宋体" w:hAnsi="宋体" w:cs="宋体" w:hint="eastAsia"/>
          <w:sz w:val="24"/>
          <w:szCs w:val="24"/>
        </w:rPr>
        <w:t>是指医疗器械临床试验过程中发生的导致死亡或者健康状况严重恶化，包括致命的疾病或者伤害、身体结构或者身体功能的</w:t>
      </w:r>
      <w:r>
        <w:rPr>
          <w:rFonts w:ascii="宋体" w:hAnsi="宋体" w:cs="宋体" w:hint="eastAsia"/>
          <w:sz w:val="24"/>
          <w:szCs w:val="24"/>
        </w:rPr>
        <w:t>永久性缺陷、需要住院治疗或者延长住院时间、需要采取医疗措施以避免对身体结构</w:t>
      </w:r>
      <w:r>
        <w:rPr>
          <w:rFonts w:ascii="宋体" w:hAnsi="宋体" w:cs="宋体" w:hint="eastAsia"/>
          <w:sz w:val="24"/>
          <w:szCs w:val="24"/>
        </w:rPr>
        <w:lastRenderedPageBreak/>
        <w:t>或者身体功能造成永久性缺陷；导致胎儿窘迫、胎儿死亡或者先天性异常、先天缺损等事件</w:t>
      </w:r>
      <w:r>
        <w:rPr>
          <w:rFonts w:ascii="宋体" w:hAnsi="宋体" w:cs="宋体"/>
          <w:sz w:val="24"/>
          <w:szCs w:val="24"/>
        </w:rPr>
        <w:t>。</w:t>
      </w:r>
    </w:p>
    <w:p w:rsidR="00240403" w:rsidRDefault="00C568B8">
      <w:pPr>
        <w:numPr>
          <w:ilvl w:val="0"/>
          <w:numId w:val="2"/>
        </w:numPr>
        <w:spacing w:line="540" w:lineRule="exact"/>
        <w:rPr>
          <w:rFonts w:ascii="宋体" w:hAnsi="宋体" w:cs="宋体"/>
          <w:b/>
          <w:bCs/>
          <w:sz w:val="24"/>
          <w:szCs w:val="24"/>
        </w:rPr>
      </w:pPr>
      <w:r>
        <w:rPr>
          <w:rFonts w:ascii="宋体" w:hAnsi="宋体" w:cs="宋体"/>
          <w:sz w:val="24"/>
          <w:szCs w:val="24"/>
        </w:rPr>
        <w:t>器械缺陷，</w:t>
      </w:r>
      <w:r>
        <w:rPr>
          <w:rFonts w:ascii="宋体" w:hAnsi="宋体" w:cs="宋体" w:hint="eastAsia"/>
          <w:sz w:val="24"/>
          <w:szCs w:val="24"/>
        </w:rPr>
        <w:t>是指临床试验过程中医疗器械在正常使用情况下存在可能危及人体健康和生命安全的不合理风险，如标签错误、质量问题、故障等</w:t>
      </w:r>
      <w:r>
        <w:rPr>
          <w:rFonts w:ascii="宋体" w:hAnsi="宋体" w:cs="宋体"/>
          <w:sz w:val="24"/>
          <w:szCs w:val="24"/>
        </w:rPr>
        <w:t>。</w:t>
      </w:r>
    </w:p>
    <w:p w:rsidR="00240403" w:rsidRDefault="00C568B8">
      <w:pPr>
        <w:spacing w:line="360" w:lineRule="auto"/>
        <w:rPr>
          <w:rFonts w:ascii="宋体" w:hAnsi="宋体" w:cs="宋体"/>
          <w:b/>
          <w:bCs/>
          <w:sz w:val="24"/>
          <w:szCs w:val="24"/>
        </w:rPr>
      </w:pPr>
      <w:r>
        <w:rPr>
          <w:rFonts w:ascii="宋体" w:hAnsi="宋体" w:cs="宋体" w:hint="eastAsia"/>
          <w:b/>
          <w:bCs/>
          <w:sz w:val="24"/>
          <w:szCs w:val="24"/>
        </w:rPr>
        <w:t>Ⅲ</w:t>
      </w:r>
      <w:r>
        <w:rPr>
          <w:rFonts w:ascii="宋体" w:hAnsi="宋体" w:cs="宋体" w:hint="eastAsia"/>
          <w:b/>
          <w:bCs/>
          <w:sz w:val="24"/>
          <w:szCs w:val="24"/>
        </w:rPr>
        <w:t xml:space="preserve"> </w:t>
      </w:r>
      <w:r>
        <w:rPr>
          <w:rFonts w:ascii="宋体" w:hAnsi="宋体" w:cs="宋体" w:hint="eastAsia"/>
          <w:b/>
          <w:bCs/>
          <w:sz w:val="24"/>
          <w:szCs w:val="24"/>
        </w:rPr>
        <w:t>工作程序：</w:t>
      </w:r>
    </w:p>
    <w:p w:rsidR="00240403" w:rsidRDefault="00C568B8">
      <w:pPr>
        <w:numPr>
          <w:ilvl w:val="0"/>
          <w:numId w:val="3"/>
        </w:numPr>
        <w:spacing w:line="360" w:lineRule="auto"/>
        <w:rPr>
          <w:rFonts w:ascii="宋体" w:hAnsi="宋体" w:cs="宋体"/>
          <w:b/>
          <w:bCs/>
          <w:sz w:val="24"/>
          <w:szCs w:val="24"/>
        </w:rPr>
      </w:pPr>
      <w:r>
        <w:rPr>
          <w:rFonts w:ascii="宋体" w:hAnsi="宋体" w:cs="宋体"/>
          <w:b/>
          <w:bCs/>
          <w:sz w:val="24"/>
          <w:szCs w:val="24"/>
        </w:rPr>
        <w:t>药物临床试验安全性报告</w:t>
      </w:r>
      <w:r>
        <w:rPr>
          <w:rFonts w:ascii="宋体" w:hAnsi="宋体" w:cs="宋体" w:hint="eastAsia"/>
          <w:b/>
          <w:bCs/>
          <w:sz w:val="24"/>
          <w:szCs w:val="24"/>
        </w:rPr>
        <w:t>：</w:t>
      </w:r>
    </w:p>
    <w:p w:rsidR="00240403" w:rsidRDefault="00C568B8">
      <w:pPr>
        <w:numPr>
          <w:ilvl w:val="0"/>
          <w:numId w:val="4"/>
        </w:numPr>
        <w:spacing w:line="360" w:lineRule="auto"/>
        <w:rPr>
          <w:rFonts w:ascii="宋体" w:hAnsi="宋体" w:cs="宋体"/>
          <w:b/>
          <w:bCs/>
          <w:sz w:val="24"/>
          <w:szCs w:val="24"/>
        </w:rPr>
      </w:pPr>
      <w:r>
        <w:rPr>
          <w:rFonts w:ascii="宋体" w:hAnsi="宋体" w:cs="宋体" w:hint="eastAsia"/>
          <w:b/>
          <w:bCs/>
          <w:sz w:val="24"/>
          <w:szCs w:val="24"/>
        </w:rPr>
        <w:t>严重不良事件</w:t>
      </w:r>
    </w:p>
    <w:p w:rsidR="00240403" w:rsidRDefault="00C568B8">
      <w:pPr>
        <w:spacing w:line="360" w:lineRule="auto"/>
        <w:ind w:firstLineChars="200" w:firstLine="480"/>
        <w:rPr>
          <w:rFonts w:ascii="宋体" w:hAnsi="宋体" w:cs="宋体"/>
          <w:sz w:val="24"/>
          <w:szCs w:val="24"/>
        </w:rPr>
      </w:pPr>
      <w:r>
        <w:rPr>
          <w:rFonts w:ascii="宋体" w:hAnsi="宋体" w:cs="宋体" w:hint="eastAsia"/>
          <w:sz w:val="24"/>
          <w:szCs w:val="24"/>
        </w:rPr>
        <w:t>除试验方案或者其他文件（如研究者手册）中规定不需立即报告的严重不良事件外，研究者应当立即向申办者书面报告所有严重不良事件，随后应当及时提供详尽、书面的随访报告。</w:t>
      </w:r>
      <w:r w:rsidR="008B5DB4">
        <w:rPr>
          <w:rFonts w:ascii="宋体" w:hAnsi="宋体" w:cs="宋体" w:hint="eastAsia"/>
          <w:sz w:val="24"/>
          <w:szCs w:val="24"/>
        </w:rPr>
        <w:t>伦理审查委员会的相关报告要求，按照我院伦理委员会要求报告。</w:t>
      </w:r>
    </w:p>
    <w:p w:rsidR="00240403" w:rsidRDefault="00C568B8">
      <w:pPr>
        <w:numPr>
          <w:ilvl w:val="0"/>
          <w:numId w:val="4"/>
        </w:numPr>
        <w:spacing w:line="360" w:lineRule="auto"/>
        <w:rPr>
          <w:rFonts w:ascii="宋体" w:hAnsi="宋体" w:cs="宋体"/>
          <w:b/>
          <w:bCs/>
          <w:sz w:val="24"/>
          <w:szCs w:val="24"/>
        </w:rPr>
      </w:pPr>
      <w:r>
        <w:rPr>
          <w:rFonts w:ascii="宋体" w:hAnsi="宋体" w:cs="宋体" w:hint="eastAsia"/>
          <w:b/>
          <w:bCs/>
          <w:sz w:val="24"/>
          <w:szCs w:val="24"/>
        </w:rPr>
        <w:t>可疑且非预期严重不良反应（</w:t>
      </w:r>
      <w:r>
        <w:rPr>
          <w:rFonts w:ascii="宋体" w:hAnsi="宋体" w:cs="宋体" w:hint="eastAsia"/>
          <w:b/>
          <w:bCs/>
          <w:sz w:val="24"/>
          <w:szCs w:val="24"/>
        </w:rPr>
        <w:t>SUSAR</w:t>
      </w:r>
      <w:r>
        <w:rPr>
          <w:rFonts w:ascii="宋体" w:hAnsi="宋体" w:cs="宋体" w:hint="eastAsia"/>
          <w:b/>
          <w:bCs/>
          <w:sz w:val="24"/>
          <w:szCs w:val="24"/>
        </w:rPr>
        <w:t>）</w:t>
      </w:r>
    </w:p>
    <w:p w:rsidR="00240403" w:rsidRDefault="00C568B8">
      <w:pPr>
        <w:spacing w:line="360" w:lineRule="auto"/>
        <w:rPr>
          <w:rFonts w:ascii="宋体" w:hAnsi="宋体" w:cs="宋体"/>
          <w:b/>
          <w:bCs/>
          <w:sz w:val="24"/>
          <w:szCs w:val="24"/>
        </w:rPr>
      </w:pPr>
      <w:r>
        <w:rPr>
          <w:rFonts w:ascii="宋体" w:hAnsi="宋体" w:cs="宋体" w:hint="eastAsia"/>
          <w:b/>
          <w:bCs/>
          <w:sz w:val="24"/>
          <w:szCs w:val="24"/>
        </w:rPr>
        <w:t xml:space="preserve">2.1 </w:t>
      </w:r>
      <w:r>
        <w:rPr>
          <w:rFonts w:ascii="宋体" w:hAnsi="宋体" w:cs="宋体" w:hint="eastAsia"/>
          <w:b/>
          <w:bCs/>
          <w:sz w:val="24"/>
          <w:szCs w:val="24"/>
        </w:rPr>
        <w:t>个例报告</w:t>
      </w:r>
    </w:p>
    <w:p w:rsidR="00240403" w:rsidRDefault="00C568B8">
      <w:pPr>
        <w:spacing w:line="360" w:lineRule="auto"/>
        <w:ind w:firstLineChars="200" w:firstLine="480"/>
        <w:rPr>
          <w:rFonts w:ascii="宋体" w:hAnsi="宋体" w:cs="宋体"/>
          <w:sz w:val="24"/>
          <w:szCs w:val="24"/>
        </w:rPr>
      </w:pPr>
      <w:r>
        <w:rPr>
          <w:rFonts w:ascii="宋体" w:hAnsi="宋体" w:cs="宋体" w:hint="eastAsia"/>
          <w:sz w:val="24"/>
          <w:szCs w:val="24"/>
        </w:rPr>
        <w:t>申办者收到研究者报告确认后，及时以邮件方式将电子版报告表发送</w:t>
      </w:r>
      <w:r>
        <w:rPr>
          <w:rFonts w:ascii="宋体" w:hAnsi="宋体" w:cs="宋体" w:hint="eastAsia"/>
          <w:sz w:val="24"/>
          <w:szCs w:val="24"/>
        </w:rPr>
        <w:t>临床试验研究中心和主要</w:t>
      </w:r>
      <w:r>
        <w:rPr>
          <w:rFonts w:ascii="宋体" w:hAnsi="宋体" w:cs="宋体" w:hint="eastAsia"/>
          <w:sz w:val="24"/>
          <w:szCs w:val="24"/>
        </w:rPr>
        <w:t>研究者</w:t>
      </w:r>
      <w:r>
        <w:rPr>
          <w:rFonts w:ascii="宋体" w:hAnsi="宋体" w:cs="宋体" w:hint="eastAsia"/>
          <w:sz w:val="24"/>
          <w:szCs w:val="24"/>
        </w:rPr>
        <w:t>邮箱，研究中心</w:t>
      </w:r>
      <w:r>
        <w:rPr>
          <w:rFonts w:ascii="宋体" w:hAnsi="宋体" w:cs="宋体" w:hint="eastAsia"/>
          <w:sz w:val="24"/>
          <w:szCs w:val="24"/>
        </w:rPr>
        <w:t>指定安全性事件专用邮箱：</w:t>
      </w:r>
      <w:r>
        <w:rPr>
          <w:rFonts w:ascii="宋体" w:hAnsi="宋体" w:cs="宋体" w:hint="eastAsia"/>
          <w:sz w:val="24"/>
          <w:szCs w:val="24"/>
        </w:rPr>
        <w:t>qdzxgcpsafety@126.com</w:t>
      </w:r>
      <w:r>
        <w:rPr>
          <w:rFonts w:ascii="宋体" w:hAnsi="宋体" w:cs="宋体" w:hint="eastAsia"/>
          <w:sz w:val="24"/>
          <w:szCs w:val="24"/>
        </w:rPr>
        <w:t>，</w:t>
      </w:r>
      <w:r>
        <w:rPr>
          <w:rFonts w:ascii="宋体" w:hAnsi="宋体" w:cs="宋体" w:hint="eastAsia"/>
          <w:sz w:val="24"/>
          <w:szCs w:val="24"/>
        </w:rPr>
        <w:t>主要</w:t>
      </w:r>
      <w:r>
        <w:rPr>
          <w:rFonts w:ascii="宋体" w:hAnsi="宋体" w:cs="宋体" w:hint="eastAsia"/>
          <w:sz w:val="24"/>
          <w:szCs w:val="24"/>
        </w:rPr>
        <w:t>研究者回复申办者“已审阅并存档”，并向伦理委员会报告由申办方提供的可疑且非预期严重不良反应。临床试验研究中心本项目质控员确认申办者邮件，并回复申办者：“已审阅并存档”。</w:t>
      </w:r>
    </w:p>
    <w:p w:rsidR="00240403" w:rsidRDefault="00C568B8">
      <w:pPr>
        <w:spacing w:line="360" w:lineRule="auto"/>
        <w:rPr>
          <w:rFonts w:ascii="宋体" w:hAnsi="宋体" w:cs="宋体"/>
          <w:b/>
          <w:bCs/>
          <w:sz w:val="24"/>
          <w:szCs w:val="24"/>
        </w:rPr>
      </w:pPr>
      <w:r>
        <w:rPr>
          <w:rFonts w:ascii="宋体" w:hAnsi="宋体" w:cs="宋体" w:hint="eastAsia"/>
          <w:b/>
          <w:bCs/>
          <w:sz w:val="24"/>
          <w:szCs w:val="24"/>
        </w:rPr>
        <w:t xml:space="preserve">2.2 </w:t>
      </w:r>
      <w:r>
        <w:rPr>
          <w:rFonts w:ascii="宋体" w:hAnsi="宋体" w:cs="宋体" w:hint="eastAsia"/>
          <w:b/>
          <w:bCs/>
          <w:sz w:val="24"/>
          <w:szCs w:val="24"/>
        </w:rPr>
        <w:t>汇总报告、研发期间安全性更新报告（</w:t>
      </w:r>
      <w:r>
        <w:rPr>
          <w:rFonts w:ascii="宋体" w:hAnsi="宋体" w:cs="宋体" w:hint="eastAsia"/>
          <w:b/>
          <w:bCs/>
          <w:sz w:val="24"/>
          <w:szCs w:val="24"/>
        </w:rPr>
        <w:t>DSUR</w:t>
      </w:r>
      <w:r>
        <w:rPr>
          <w:rFonts w:ascii="宋体" w:hAnsi="宋体" w:cs="宋体" w:hint="eastAsia"/>
          <w:b/>
          <w:bCs/>
          <w:sz w:val="24"/>
          <w:szCs w:val="24"/>
        </w:rPr>
        <w:t>）</w:t>
      </w:r>
    </w:p>
    <w:p w:rsidR="00240403" w:rsidRDefault="00C568B8">
      <w:pPr>
        <w:spacing w:line="360" w:lineRule="auto"/>
        <w:ind w:firstLineChars="200" w:firstLine="480"/>
        <w:rPr>
          <w:rFonts w:ascii="宋体" w:hAnsi="宋体" w:cs="宋体"/>
          <w:sz w:val="24"/>
          <w:szCs w:val="24"/>
        </w:rPr>
      </w:pPr>
      <w:r>
        <w:rPr>
          <w:rFonts w:ascii="宋体" w:hAnsi="宋体" w:cs="宋体" w:hint="eastAsia"/>
          <w:sz w:val="24"/>
          <w:szCs w:val="24"/>
        </w:rPr>
        <w:t>汇总报告和研发期间安全性更新报告申办者汇总书面报告按照我院伦理委员会要求由</w:t>
      </w:r>
      <w:r>
        <w:rPr>
          <w:rFonts w:ascii="宋体" w:hAnsi="宋体" w:cs="宋体" w:hint="eastAsia"/>
          <w:sz w:val="24"/>
          <w:szCs w:val="24"/>
        </w:rPr>
        <w:t>主要</w:t>
      </w:r>
      <w:r>
        <w:rPr>
          <w:rFonts w:ascii="宋体" w:hAnsi="宋体" w:cs="宋体" w:hint="eastAsia"/>
          <w:sz w:val="24"/>
          <w:szCs w:val="24"/>
        </w:rPr>
        <w:t>研究者报告。</w:t>
      </w:r>
    </w:p>
    <w:p w:rsidR="00240403" w:rsidRDefault="00C568B8">
      <w:pPr>
        <w:spacing w:line="360" w:lineRule="auto"/>
        <w:rPr>
          <w:rFonts w:ascii="宋体" w:hAnsi="宋体" w:cs="宋体"/>
          <w:b/>
          <w:bCs/>
          <w:sz w:val="24"/>
          <w:szCs w:val="24"/>
        </w:rPr>
      </w:pPr>
      <w:r>
        <w:rPr>
          <w:rFonts w:ascii="宋体" w:hAnsi="宋体" w:cs="宋体" w:hint="eastAsia"/>
          <w:b/>
          <w:bCs/>
          <w:sz w:val="24"/>
          <w:szCs w:val="24"/>
        </w:rPr>
        <w:t>2</w:t>
      </w:r>
      <w:r>
        <w:rPr>
          <w:rFonts w:ascii="宋体" w:hAnsi="宋体" w:cs="宋体" w:hint="eastAsia"/>
          <w:b/>
          <w:bCs/>
          <w:sz w:val="24"/>
          <w:szCs w:val="24"/>
        </w:rPr>
        <w:t xml:space="preserve">.3 </w:t>
      </w:r>
      <w:r>
        <w:rPr>
          <w:rFonts w:ascii="宋体" w:hAnsi="宋体" w:cs="宋体" w:hint="eastAsia"/>
          <w:b/>
          <w:bCs/>
          <w:sz w:val="24"/>
          <w:szCs w:val="24"/>
        </w:rPr>
        <w:t>涉及死亡的事件</w:t>
      </w:r>
    </w:p>
    <w:p w:rsidR="00240403" w:rsidRDefault="00C568B8">
      <w:pPr>
        <w:spacing w:line="360" w:lineRule="auto"/>
        <w:ind w:firstLineChars="200" w:firstLine="480"/>
        <w:rPr>
          <w:rFonts w:ascii="宋体" w:hAnsi="宋体" w:cs="宋体"/>
          <w:sz w:val="24"/>
          <w:szCs w:val="24"/>
        </w:rPr>
      </w:pPr>
      <w:r>
        <w:rPr>
          <w:rFonts w:ascii="宋体" w:hAnsi="宋体" w:cs="宋体" w:hint="eastAsia"/>
          <w:sz w:val="24"/>
          <w:szCs w:val="24"/>
        </w:rPr>
        <w:t>涉及死亡的事件，除应按照以上</w:t>
      </w:r>
      <w:r>
        <w:rPr>
          <w:rFonts w:ascii="宋体" w:hAnsi="宋体" w:cs="宋体" w:hint="eastAsia"/>
          <w:sz w:val="24"/>
          <w:szCs w:val="24"/>
        </w:rPr>
        <w:t>2</w:t>
      </w:r>
      <w:r>
        <w:rPr>
          <w:rFonts w:ascii="宋体" w:hAnsi="宋体" w:cs="宋体" w:hint="eastAsia"/>
          <w:sz w:val="24"/>
          <w:szCs w:val="24"/>
        </w:rPr>
        <w:t>.1</w:t>
      </w:r>
      <w:r>
        <w:rPr>
          <w:rFonts w:ascii="宋体" w:hAnsi="宋体" w:cs="宋体" w:hint="eastAsia"/>
          <w:sz w:val="24"/>
          <w:szCs w:val="24"/>
        </w:rPr>
        <w:t>或</w:t>
      </w:r>
      <w:r>
        <w:rPr>
          <w:rFonts w:ascii="宋体" w:hAnsi="宋体" w:cs="宋体" w:hint="eastAsia"/>
          <w:sz w:val="24"/>
          <w:szCs w:val="24"/>
        </w:rPr>
        <w:t>2</w:t>
      </w:r>
      <w:r>
        <w:rPr>
          <w:rFonts w:ascii="宋体" w:hAnsi="宋体" w:cs="宋体" w:hint="eastAsia"/>
          <w:sz w:val="24"/>
          <w:szCs w:val="24"/>
        </w:rPr>
        <w:t>.2</w:t>
      </w:r>
      <w:r>
        <w:rPr>
          <w:rFonts w:ascii="宋体" w:hAnsi="宋体" w:cs="宋体" w:hint="eastAsia"/>
          <w:sz w:val="24"/>
          <w:szCs w:val="24"/>
        </w:rPr>
        <w:t>项相关要求报告外，还应提供其他伦理委员会所需要的资料，如尸检报告和最终医学报告。</w:t>
      </w:r>
    </w:p>
    <w:p w:rsidR="00240403" w:rsidRDefault="00C568B8">
      <w:pPr>
        <w:spacing w:line="360" w:lineRule="auto"/>
        <w:rPr>
          <w:rFonts w:hAnsi="宋体"/>
          <w:color w:val="000000"/>
          <w:sz w:val="24"/>
        </w:rPr>
      </w:pPr>
      <w:r>
        <w:rPr>
          <w:rFonts w:ascii="宋体" w:hAnsi="宋体" w:cs="宋体" w:hint="eastAsia"/>
          <w:b/>
          <w:bCs/>
          <w:sz w:val="24"/>
          <w:szCs w:val="24"/>
        </w:rPr>
        <w:t>二、医疗器械</w:t>
      </w:r>
      <w:r>
        <w:rPr>
          <w:rFonts w:ascii="宋体" w:hAnsi="宋体" w:cs="宋体"/>
          <w:b/>
          <w:bCs/>
          <w:sz w:val="24"/>
          <w:szCs w:val="24"/>
        </w:rPr>
        <w:t>临床试验</w:t>
      </w:r>
      <w:r>
        <w:rPr>
          <w:rFonts w:ascii="宋体" w:hAnsi="宋体" w:cs="宋体" w:hint="eastAsia"/>
          <w:b/>
          <w:bCs/>
          <w:sz w:val="24"/>
          <w:szCs w:val="24"/>
        </w:rPr>
        <w:t>严重不良事件</w:t>
      </w:r>
      <w:r>
        <w:rPr>
          <w:rFonts w:ascii="宋体" w:hAnsi="宋体" w:cs="宋体"/>
          <w:b/>
          <w:bCs/>
          <w:sz w:val="24"/>
          <w:szCs w:val="24"/>
        </w:rPr>
        <w:t>报告</w:t>
      </w:r>
      <w:r>
        <w:rPr>
          <w:rFonts w:ascii="宋体" w:hAnsi="宋体" w:cs="宋体" w:hint="eastAsia"/>
          <w:b/>
          <w:bCs/>
          <w:sz w:val="24"/>
          <w:szCs w:val="24"/>
        </w:rPr>
        <w:t>：</w:t>
      </w:r>
    </w:p>
    <w:p w:rsidR="00240403" w:rsidRDefault="00C568B8">
      <w:pPr>
        <w:spacing w:line="360" w:lineRule="auto"/>
        <w:rPr>
          <w:rFonts w:hint="eastAsia"/>
          <w:b/>
          <w:iCs/>
          <w:sz w:val="24"/>
        </w:rPr>
      </w:pPr>
      <w:r>
        <w:rPr>
          <w:rFonts w:hint="eastAsia"/>
          <w:b/>
          <w:iCs/>
          <w:sz w:val="24"/>
        </w:rPr>
        <w:t xml:space="preserve">1. </w:t>
      </w:r>
      <w:r>
        <w:rPr>
          <w:rFonts w:hint="eastAsia"/>
          <w:b/>
          <w:iCs/>
          <w:sz w:val="24"/>
        </w:rPr>
        <w:t>本中心</w:t>
      </w:r>
      <w:r>
        <w:rPr>
          <w:rFonts w:hint="eastAsia"/>
          <w:b/>
          <w:iCs/>
          <w:sz w:val="24"/>
        </w:rPr>
        <w:t>严重不良事件报告</w:t>
      </w:r>
    </w:p>
    <w:p w:rsidR="00240403" w:rsidRDefault="00C568B8">
      <w:pPr>
        <w:tabs>
          <w:tab w:val="left" w:pos="540"/>
          <w:tab w:val="left" w:pos="720"/>
          <w:tab w:val="left" w:pos="900"/>
          <w:tab w:val="left" w:pos="1080"/>
        </w:tabs>
        <w:autoSpaceDE w:val="0"/>
        <w:autoSpaceDN w:val="0"/>
        <w:adjustRightInd w:val="0"/>
        <w:spacing w:line="360" w:lineRule="auto"/>
        <w:jc w:val="left"/>
        <w:rPr>
          <w:rFonts w:hAnsi="宋体"/>
          <w:bCs/>
          <w:color w:val="000000"/>
          <w:sz w:val="24"/>
        </w:rPr>
      </w:pPr>
      <w:r>
        <w:rPr>
          <w:rFonts w:hAnsi="宋体" w:hint="eastAsia"/>
          <w:bCs/>
          <w:color w:val="000000"/>
          <w:sz w:val="24"/>
        </w:rPr>
        <w:t xml:space="preserve">1.1 </w:t>
      </w:r>
      <w:r>
        <w:rPr>
          <w:rFonts w:hAnsi="宋体" w:hint="eastAsia"/>
          <w:bCs/>
          <w:color w:val="000000"/>
          <w:sz w:val="24"/>
        </w:rPr>
        <w:t>研究者应当在获知严重不良事件后</w:t>
      </w:r>
      <w:r>
        <w:rPr>
          <w:rFonts w:hAnsi="宋体" w:hint="eastAsia"/>
          <w:bCs/>
          <w:color w:val="000000"/>
          <w:sz w:val="24"/>
        </w:rPr>
        <w:t>24</w:t>
      </w:r>
      <w:r>
        <w:rPr>
          <w:rFonts w:hAnsi="宋体" w:hint="eastAsia"/>
          <w:bCs/>
          <w:color w:val="000000"/>
          <w:sz w:val="24"/>
        </w:rPr>
        <w:t>小时内，</w:t>
      </w:r>
      <w:r>
        <w:rPr>
          <w:rFonts w:hAnsi="宋体" w:hint="eastAsia"/>
          <w:bCs/>
          <w:color w:val="000000"/>
          <w:sz w:val="24"/>
        </w:rPr>
        <w:t>填写《医疗器械临床试验管理规范》附件</w:t>
      </w:r>
      <w:r>
        <w:rPr>
          <w:rFonts w:hAnsi="宋体" w:hint="eastAsia"/>
          <w:bCs/>
          <w:color w:val="000000"/>
          <w:sz w:val="24"/>
        </w:rPr>
        <w:t>5</w:t>
      </w:r>
      <w:r>
        <w:rPr>
          <w:rFonts w:hAnsi="宋体" w:hint="eastAsia"/>
          <w:bCs/>
          <w:color w:val="000000"/>
          <w:sz w:val="24"/>
        </w:rPr>
        <w:t>《医疗器械</w:t>
      </w:r>
      <w:r>
        <w:rPr>
          <w:rFonts w:hAnsi="宋体" w:hint="eastAsia"/>
          <w:bCs/>
          <w:color w:val="000000"/>
          <w:sz w:val="24"/>
        </w:rPr>
        <w:t>/</w:t>
      </w:r>
      <w:r>
        <w:rPr>
          <w:rFonts w:hAnsi="宋体" w:hint="eastAsia"/>
          <w:bCs/>
          <w:color w:val="000000"/>
          <w:sz w:val="24"/>
        </w:rPr>
        <w:t>体外诊断试剂临床试验严重不良事件报告表范本》</w:t>
      </w:r>
      <w:r>
        <w:rPr>
          <w:rFonts w:hAnsi="宋体" w:hint="eastAsia"/>
          <w:bCs/>
          <w:color w:val="000000"/>
          <w:sz w:val="24"/>
        </w:rPr>
        <w:t>向申办者、</w:t>
      </w:r>
      <w:r>
        <w:rPr>
          <w:rFonts w:hAnsi="宋体" w:hint="eastAsia"/>
          <w:bCs/>
          <w:color w:val="000000"/>
          <w:sz w:val="24"/>
        </w:rPr>
        <w:t>临床试验研究中心</w:t>
      </w:r>
      <w:r>
        <w:rPr>
          <w:rFonts w:hAnsi="宋体" w:hint="eastAsia"/>
          <w:bCs/>
          <w:color w:val="000000"/>
          <w:sz w:val="24"/>
        </w:rPr>
        <w:t>、伦理委员会报告</w:t>
      </w:r>
      <w:r>
        <w:rPr>
          <w:rFonts w:hAnsi="宋体" w:hint="eastAsia"/>
          <w:bCs/>
          <w:color w:val="000000"/>
          <w:sz w:val="24"/>
        </w:rPr>
        <w:t>，其中研究中心以递交信形式报告，由研究中心本项目质控员审阅、签字，存于研究者文件夹。研究者</w:t>
      </w:r>
      <w:r>
        <w:rPr>
          <w:rFonts w:hAnsi="宋体" w:hint="eastAsia"/>
          <w:bCs/>
          <w:color w:val="000000"/>
          <w:sz w:val="24"/>
        </w:rPr>
        <w:t>按照临床试验方案的规定随访严重不良事</w:t>
      </w:r>
      <w:r>
        <w:rPr>
          <w:rFonts w:hAnsi="宋体" w:hint="eastAsia"/>
          <w:bCs/>
          <w:color w:val="000000"/>
          <w:sz w:val="24"/>
        </w:rPr>
        <w:lastRenderedPageBreak/>
        <w:t>件，提交严重不良事件随访报告</w:t>
      </w:r>
      <w:r>
        <w:rPr>
          <w:rFonts w:hAnsi="宋体" w:hint="eastAsia"/>
          <w:bCs/>
          <w:color w:val="000000"/>
          <w:sz w:val="24"/>
        </w:rPr>
        <w:t>。</w:t>
      </w:r>
      <w:r>
        <w:rPr>
          <w:rFonts w:hAnsi="宋体" w:hint="eastAsia"/>
          <w:bCs/>
          <w:color w:val="000000"/>
          <w:sz w:val="24"/>
        </w:rPr>
        <w:t xml:space="preserve"> </w:t>
      </w:r>
    </w:p>
    <w:p w:rsidR="00240403" w:rsidRDefault="00C568B8">
      <w:pPr>
        <w:tabs>
          <w:tab w:val="left" w:pos="540"/>
          <w:tab w:val="left" w:pos="720"/>
          <w:tab w:val="left" w:pos="900"/>
          <w:tab w:val="left" w:pos="1080"/>
        </w:tabs>
        <w:autoSpaceDE w:val="0"/>
        <w:autoSpaceDN w:val="0"/>
        <w:adjustRightInd w:val="0"/>
        <w:spacing w:line="360" w:lineRule="auto"/>
        <w:jc w:val="left"/>
        <w:rPr>
          <w:rFonts w:hAnsi="宋体"/>
          <w:bCs/>
          <w:color w:val="000000"/>
          <w:sz w:val="24"/>
        </w:rPr>
      </w:pPr>
      <w:r>
        <w:rPr>
          <w:rFonts w:hAnsi="宋体" w:hint="eastAsia"/>
          <w:bCs/>
          <w:color w:val="000000"/>
          <w:sz w:val="24"/>
        </w:rPr>
        <w:t xml:space="preserve">1.2 </w:t>
      </w:r>
      <w:r>
        <w:rPr>
          <w:rFonts w:hAnsi="宋体" w:hint="eastAsia"/>
          <w:bCs/>
          <w:color w:val="000000"/>
          <w:sz w:val="24"/>
        </w:rPr>
        <w:t>对于死亡事件，除应按照</w:t>
      </w:r>
      <w:r>
        <w:rPr>
          <w:rFonts w:hAnsi="宋体" w:hint="eastAsia"/>
          <w:bCs/>
          <w:color w:val="000000"/>
          <w:sz w:val="24"/>
        </w:rPr>
        <w:t>1.1</w:t>
      </w:r>
      <w:r>
        <w:rPr>
          <w:rFonts w:hAnsi="宋体" w:hint="eastAsia"/>
          <w:bCs/>
          <w:color w:val="000000"/>
          <w:sz w:val="24"/>
        </w:rPr>
        <w:t>项相关要求报告外，研究者应当向伦理委员会和申办者提供所需要的全部资料。</w:t>
      </w:r>
    </w:p>
    <w:p w:rsidR="00240403" w:rsidRDefault="00C568B8">
      <w:pPr>
        <w:spacing w:line="360" w:lineRule="auto"/>
        <w:rPr>
          <w:rFonts w:hint="eastAsia"/>
          <w:b/>
          <w:iCs/>
          <w:sz w:val="24"/>
        </w:rPr>
      </w:pPr>
      <w:r>
        <w:rPr>
          <w:rFonts w:hAnsi="宋体" w:hint="eastAsia"/>
          <w:b/>
          <w:color w:val="000000"/>
          <w:sz w:val="24"/>
        </w:rPr>
        <w:t xml:space="preserve">2. </w:t>
      </w:r>
      <w:r>
        <w:rPr>
          <w:rFonts w:hAnsi="宋体" w:hint="eastAsia"/>
          <w:b/>
          <w:color w:val="000000"/>
          <w:sz w:val="24"/>
        </w:rPr>
        <w:t>非</w:t>
      </w:r>
      <w:r>
        <w:rPr>
          <w:rFonts w:hint="eastAsia"/>
          <w:b/>
          <w:iCs/>
          <w:sz w:val="24"/>
        </w:rPr>
        <w:t>本中心</w:t>
      </w:r>
      <w:r>
        <w:rPr>
          <w:rFonts w:hint="eastAsia"/>
          <w:b/>
          <w:iCs/>
          <w:sz w:val="24"/>
        </w:rPr>
        <w:t>严重不良事件报告</w:t>
      </w:r>
    </w:p>
    <w:p w:rsidR="00240403" w:rsidRDefault="00C568B8">
      <w:pPr>
        <w:tabs>
          <w:tab w:val="left" w:pos="540"/>
          <w:tab w:val="left" w:pos="720"/>
          <w:tab w:val="left" w:pos="900"/>
          <w:tab w:val="left" w:pos="1080"/>
        </w:tabs>
        <w:autoSpaceDE w:val="0"/>
        <w:autoSpaceDN w:val="0"/>
        <w:adjustRightInd w:val="0"/>
        <w:spacing w:line="360" w:lineRule="auto"/>
        <w:ind w:firstLineChars="200" w:firstLine="480"/>
        <w:jc w:val="left"/>
        <w:rPr>
          <w:rFonts w:hAnsi="宋体"/>
          <w:bCs/>
          <w:color w:val="000000"/>
          <w:sz w:val="24"/>
        </w:rPr>
      </w:pPr>
      <w:r>
        <w:rPr>
          <w:rFonts w:hAnsi="宋体"/>
          <w:bCs/>
          <w:color w:val="000000"/>
          <w:sz w:val="24"/>
        </w:rPr>
        <w:t>申办者应当在获知死亡或者危及生命的临床试验医疗器械相关严重不良事件后</w:t>
      </w:r>
      <w:r>
        <w:rPr>
          <w:rFonts w:hAnsi="宋体"/>
          <w:bCs/>
          <w:color w:val="000000"/>
          <w:sz w:val="24"/>
        </w:rPr>
        <w:t>7</w:t>
      </w:r>
      <w:r>
        <w:rPr>
          <w:rFonts w:hAnsi="宋体"/>
          <w:bCs/>
          <w:color w:val="000000"/>
          <w:sz w:val="24"/>
        </w:rPr>
        <w:t>日内、获知非死亡或者非危及生命的试验医疗器械相关严重不良事件和其他严重安全性风险信息后</w:t>
      </w:r>
      <w:r>
        <w:rPr>
          <w:rFonts w:hAnsi="宋体"/>
          <w:bCs/>
          <w:color w:val="000000"/>
          <w:sz w:val="24"/>
        </w:rPr>
        <w:t>15</w:t>
      </w:r>
      <w:r>
        <w:rPr>
          <w:rFonts w:hAnsi="宋体"/>
          <w:bCs/>
          <w:color w:val="000000"/>
          <w:sz w:val="24"/>
        </w:rPr>
        <w:t>日内，以邮件方式将电子版报告表发送临床试验研究中心</w:t>
      </w:r>
      <w:r>
        <w:rPr>
          <w:rFonts w:hAnsi="宋体" w:hint="eastAsia"/>
          <w:bCs/>
          <w:color w:val="000000"/>
          <w:sz w:val="24"/>
        </w:rPr>
        <w:t>和</w:t>
      </w:r>
      <w:r>
        <w:rPr>
          <w:rFonts w:hAnsi="宋体" w:hint="eastAsia"/>
          <w:bCs/>
          <w:color w:val="000000"/>
          <w:sz w:val="24"/>
        </w:rPr>
        <w:t>主要</w:t>
      </w:r>
      <w:r>
        <w:rPr>
          <w:rFonts w:hAnsi="宋体"/>
          <w:bCs/>
          <w:color w:val="000000"/>
          <w:sz w:val="24"/>
        </w:rPr>
        <w:t>研究者</w:t>
      </w:r>
      <w:r>
        <w:rPr>
          <w:rFonts w:hAnsi="宋体" w:hint="eastAsia"/>
          <w:bCs/>
          <w:color w:val="000000"/>
          <w:sz w:val="24"/>
        </w:rPr>
        <w:t>邮箱，并按照我院伦理委员会要求进行报告。</w:t>
      </w:r>
      <w:r>
        <w:rPr>
          <w:rFonts w:hAnsi="宋体"/>
          <w:bCs/>
          <w:color w:val="000000"/>
          <w:sz w:val="24"/>
        </w:rPr>
        <w:t>研究中心指定安全性事件专用邮箱：</w:t>
      </w:r>
      <w:r>
        <w:rPr>
          <w:rFonts w:hAnsi="宋体"/>
          <w:bCs/>
          <w:color w:val="000000"/>
          <w:sz w:val="24"/>
        </w:rPr>
        <w:t>qdzxgcpsafety@126.com</w:t>
      </w:r>
      <w:r>
        <w:rPr>
          <w:rFonts w:hAnsi="宋体" w:hint="eastAsia"/>
          <w:bCs/>
          <w:color w:val="000000"/>
          <w:sz w:val="24"/>
        </w:rPr>
        <w:t>，主要研究者和临床试验研</w:t>
      </w:r>
      <w:bookmarkStart w:id="0" w:name="_GoBack"/>
      <w:bookmarkEnd w:id="0"/>
      <w:r>
        <w:rPr>
          <w:rFonts w:hAnsi="宋体" w:hint="eastAsia"/>
          <w:bCs/>
          <w:color w:val="000000"/>
          <w:sz w:val="24"/>
        </w:rPr>
        <w:t>究中心本项目质控员确认申办者邮件，回复“已审阅并存档”。</w:t>
      </w:r>
    </w:p>
    <w:p w:rsidR="00240403" w:rsidRDefault="00240403">
      <w:pPr>
        <w:tabs>
          <w:tab w:val="left" w:pos="540"/>
          <w:tab w:val="left" w:pos="720"/>
          <w:tab w:val="left" w:pos="900"/>
          <w:tab w:val="left" w:pos="1080"/>
        </w:tabs>
        <w:autoSpaceDE w:val="0"/>
        <w:autoSpaceDN w:val="0"/>
        <w:adjustRightInd w:val="0"/>
        <w:spacing w:line="360" w:lineRule="auto"/>
        <w:jc w:val="left"/>
        <w:rPr>
          <w:rFonts w:hAnsi="宋体"/>
          <w:bCs/>
          <w:color w:val="000000"/>
          <w:sz w:val="24"/>
        </w:rPr>
      </w:pPr>
    </w:p>
    <w:sectPr w:rsidR="00240403" w:rsidSect="00240403">
      <w:head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8B8" w:rsidRDefault="00C568B8" w:rsidP="00240403">
      <w:r>
        <w:separator/>
      </w:r>
    </w:p>
  </w:endnote>
  <w:endnote w:type="continuationSeparator" w:id="0">
    <w:p w:rsidR="00C568B8" w:rsidRDefault="00C568B8" w:rsidP="002404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8B8" w:rsidRDefault="00C568B8" w:rsidP="00240403">
      <w:r>
        <w:separator/>
      </w:r>
    </w:p>
  </w:footnote>
  <w:footnote w:type="continuationSeparator" w:id="0">
    <w:p w:rsidR="00C568B8" w:rsidRDefault="00C568B8" w:rsidP="002404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403" w:rsidRDefault="008B5DB4">
    <w:pPr>
      <w:pStyle w:val="a5"/>
      <w:jc w:val="left"/>
      <w:rPr>
        <w:rFonts w:hint="eastAsia"/>
      </w:rPr>
    </w:pPr>
    <w:r>
      <w:rPr>
        <w:rFonts w:hint="eastAsia"/>
      </w:rPr>
      <w:t>康复大学青岛</w:t>
    </w:r>
    <w:r w:rsidR="00C568B8">
      <w:rPr>
        <w:rFonts w:hint="eastAsia"/>
      </w:rPr>
      <w:t>中心医院临床试验机构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E26253"/>
    <w:multiLevelType w:val="singleLevel"/>
    <w:tmpl w:val="97E26253"/>
    <w:lvl w:ilvl="0">
      <w:start w:val="1"/>
      <w:numFmt w:val="decimal"/>
      <w:suff w:val="space"/>
      <w:lvlText w:val="%1."/>
      <w:lvlJc w:val="left"/>
    </w:lvl>
  </w:abstractNum>
  <w:abstractNum w:abstractNumId="1">
    <w:nsid w:val="FAC8E897"/>
    <w:multiLevelType w:val="singleLevel"/>
    <w:tmpl w:val="FAC8E897"/>
    <w:lvl w:ilvl="0">
      <w:start w:val="1"/>
      <w:numFmt w:val="decimal"/>
      <w:suff w:val="space"/>
      <w:lvlText w:val="%1."/>
      <w:lvlJc w:val="left"/>
    </w:lvl>
  </w:abstractNum>
  <w:abstractNum w:abstractNumId="2">
    <w:nsid w:val="71C5FEF5"/>
    <w:multiLevelType w:val="singleLevel"/>
    <w:tmpl w:val="71C5FEF5"/>
    <w:lvl w:ilvl="0">
      <w:start w:val="1"/>
      <w:numFmt w:val="decimal"/>
      <w:suff w:val="space"/>
      <w:lvlText w:val="%1."/>
      <w:lvlJc w:val="left"/>
    </w:lvl>
  </w:abstractNum>
  <w:abstractNum w:abstractNumId="3">
    <w:nsid w:val="7B84BE30"/>
    <w:multiLevelType w:val="singleLevel"/>
    <w:tmpl w:val="7B84BE30"/>
    <w:lvl w:ilvl="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WMyODhlMjY3YWM5ZjZjOTBhNTJhMzE5NGUyMjk2NTYifQ=="/>
  </w:docVars>
  <w:rsids>
    <w:rsidRoot w:val="0010199E"/>
    <w:rsid w:val="0010199E"/>
    <w:rsid w:val="0011768F"/>
    <w:rsid w:val="001A578C"/>
    <w:rsid w:val="00240403"/>
    <w:rsid w:val="002D526C"/>
    <w:rsid w:val="003B5DB8"/>
    <w:rsid w:val="004E1F02"/>
    <w:rsid w:val="007B026E"/>
    <w:rsid w:val="00892727"/>
    <w:rsid w:val="008B5DB4"/>
    <w:rsid w:val="009738F4"/>
    <w:rsid w:val="009957C5"/>
    <w:rsid w:val="00A01F2D"/>
    <w:rsid w:val="00AC0839"/>
    <w:rsid w:val="00C568B8"/>
    <w:rsid w:val="00CB406D"/>
    <w:rsid w:val="00F25BE6"/>
    <w:rsid w:val="06CF349A"/>
    <w:rsid w:val="0B905462"/>
    <w:rsid w:val="101A0900"/>
    <w:rsid w:val="1090773B"/>
    <w:rsid w:val="12ED7E2B"/>
    <w:rsid w:val="224128E4"/>
    <w:rsid w:val="275A76D6"/>
    <w:rsid w:val="2B6A3A74"/>
    <w:rsid w:val="35F26DA9"/>
    <w:rsid w:val="411D4C64"/>
    <w:rsid w:val="4FCC7303"/>
    <w:rsid w:val="531D61B6"/>
    <w:rsid w:val="58DC2DA6"/>
    <w:rsid w:val="5DEE4507"/>
    <w:rsid w:val="5E3F0BF1"/>
    <w:rsid w:val="5E7A40F3"/>
    <w:rsid w:val="61D25CCC"/>
    <w:rsid w:val="6A764BAB"/>
    <w:rsid w:val="6CCC23B7"/>
    <w:rsid w:val="6DE233D2"/>
    <w:rsid w:val="70681B0D"/>
    <w:rsid w:val="75754572"/>
    <w:rsid w:val="7CC66763"/>
    <w:rsid w:val="7CF000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40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40403"/>
    <w:rPr>
      <w:sz w:val="18"/>
      <w:szCs w:val="18"/>
    </w:rPr>
  </w:style>
  <w:style w:type="paragraph" w:styleId="a4">
    <w:name w:val="footer"/>
    <w:basedOn w:val="a"/>
    <w:link w:val="Char0"/>
    <w:uiPriority w:val="99"/>
    <w:unhideWhenUsed/>
    <w:qFormat/>
    <w:rsid w:val="0024040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40403"/>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semiHidden/>
    <w:unhideWhenUsed/>
    <w:qFormat/>
    <w:rsid w:val="0024040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qFormat/>
    <w:rsid w:val="00240403"/>
    <w:rPr>
      <w:color w:val="0000FF"/>
      <w:u w:val="single"/>
    </w:rPr>
  </w:style>
  <w:style w:type="character" w:customStyle="1" w:styleId="Char1">
    <w:name w:val="页眉 Char"/>
    <w:basedOn w:val="a0"/>
    <w:link w:val="a5"/>
    <w:uiPriority w:val="99"/>
    <w:qFormat/>
    <w:rsid w:val="00240403"/>
    <w:rPr>
      <w:sz w:val="18"/>
      <w:szCs w:val="18"/>
    </w:rPr>
  </w:style>
  <w:style w:type="character" w:customStyle="1" w:styleId="Char0">
    <w:name w:val="页脚 Char"/>
    <w:basedOn w:val="a0"/>
    <w:link w:val="a4"/>
    <w:uiPriority w:val="99"/>
    <w:qFormat/>
    <w:rsid w:val="00240403"/>
    <w:rPr>
      <w:sz w:val="18"/>
      <w:szCs w:val="18"/>
    </w:rPr>
  </w:style>
  <w:style w:type="character" w:customStyle="1" w:styleId="Char">
    <w:name w:val="批注框文本 Char"/>
    <w:basedOn w:val="a0"/>
    <w:link w:val="a3"/>
    <w:uiPriority w:val="99"/>
    <w:semiHidden/>
    <w:qFormat/>
    <w:rsid w:val="00240403"/>
    <w:rPr>
      <w:sz w:val="18"/>
      <w:szCs w:val="18"/>
    </w:rPr>
  </w:style>
  <w:style w:type="paragraph" w:styleId="a8">
    <w:name w:val="List Paragraph"/>
    <w:basedOn w:val="a"/>
    <w:uiPriority w:val="34"/>
    <w:qFormat/>
    <w:rsid w:val="00240403"/>
    <w:pPr>
      <w:ind w:firstLineChars="200" w:firstLine="420"/>
    </w:pPr>
    <w:rPr>
      <w:rFonts w:ascii="Calibri" w:eastAsia="宋体" w:hAnsi="Calibri"/>
    </w:rPr>
  </w:style>
  <w:style w:type="paragraph" w:customStyle="1" w:styleId="1">
    <w:name w:val="修订1"/>
    <w:hidden/>
    <w:uiPriority w:val="99"/>
    <w:unhideWhenUsed/>
    <w:qFormat/>
    <w:rsid w:val="00240403"/>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张京乙</cp:lastModifiedBy>
  <cp:revision>4</cp:revision>
  <cp:lastPrinted>2020-11-16T00:53:00Z</cp:lastPrinted>
  <dcterms:created xsi:type="dcterms:W3CDTF">2020-11-16T13:38:00Z</dcterms:created>
  <dcterms:modified xsi:type="dcterms:W3CDTF">2024-10-16T08:11:00Z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36AFEA19C61E4106B375463C16D54AC9</vt:lpwstr>
  </property>
</Properties>
</file>